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F65D" w14:textId="626CD753" w:rsidR="00F9592F" w:rsidRPr="00FA5FE1" w:rsidRDefault="00F9592F" w:rsidP="009865D0">
      <w:pPr>
        <w:ind w:left="-142" w:right="-1"/>
        <w:rPr>
          <w:rFonts w:eastAsia="MS Mincho" w:cs="Arial"/>
          <w:b/>
          <w:bCs/>
          <w:szCs w:val="20"/>
          <w:lang w:eastAsia="es-ES"/>
        </w:rPr>
      </w:pPr>
      <w:r w:rsidRPr="00FA5FE1">
        <w:rPr>
          <w:rFonts w:eastAsia="MS Mincho" w:cs="Arial"/>
          <w:b/>
          <w:bCs/>
          <w:szCs w:val="20"/>
          <w:lang w:eastAsia="es-ES"/>
        </w:rPr>
        <w:t>Formato 06 Memorando de revisión analítica</w:t>
      </w:r>
    </w:p>
    <w:p w14:paraId="11491BDD" w14:textId="77777777" w:rsidR="00F9592F" w:rsidRPr="00FA5FE1" w:rsidRDefault="00F9592F" w:rsidP="009865D0">
      <w:pPr>
        <w:ind w:right="-1"/>
        <w:jc w:val="both"/>
        <w:rPr>
          <w:rFonts w:eastAsia="MS Mincho" w:cs="Arial"/>
          <w:b/>
          <w:bCs/>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9592F" w:rsidRPr="00FA5FE1" w14:paraId="1743B909" w14:textId="77777777" w:rsidTr="00F9592F">
        <w:tc>
          <w:tcPr>
            <w:tcW w:w="8644" w:type="dxa"/>
            <w:shd w:val="clear" w:color="auto" w:fill="auto"/>
          </w:tcPr>
          <w:p w14:paraId="3CBEAB1A" w14:textId="77777777" w:rsidR="00F9592F" w:rsidRPr="00FA5FE1" w:rsidRDefault="00F9592F" w:rsidP="009865D0">
            <w:pPr>
              <w:ind w:right="-1"/>
              <w:jc w:val="both"/>
              <w:rPr>
                <w:rFonts w:eastAsia="MS Mincho" w:cs="Arial"/>
                <w:b/>
                <w:bCs/>
                <w:szCs w:val="20"/>
                <w:lang w:eastAsia="es-ES"/>
              </w:rPr>
            </w:pPr>
            <w:r w:rsidRPr="00FA5FE1">
              <w:rPr>
                <w:rFonts w:eastAsia="MS Mincho" w:cs="Arial"/>
                <w:b/>
                <w:bCs/>
                <w:szCs w:val="20"/>
                <w:lang w:eastAsia="es-ES"/>
              </w:rPr>
              <w:t>Memorando de revisión analítica</w:t>
            </w:r>
          </w:p>
          <w:p w14:paraId="79B6D8A9" w14:textId="77777777" w:rsidR="00F9592F" w:rsidRPr="00FA5FE1" w:rsidRDefault="00F9592F" w:rsidP="009865D0">
            <w:pPr>
              <w:ind w:right="-1"/>
              <w:jc w:val="both"/>
              <w:rPr>
                <w:rFonts w:eastAsia="MS Mincho" w:cs="Arial"/>
                <w:b/>
                <w:bCs/>
                <w:szCs w:val="20"/>
                <w:lang w:eastAsia="es-ES"/>
              </w:rPr>
            </w:pPr>
          </w:p>
          <w:p w14:paraId="76A2D1E3" w14:textId="77777777" w:rsidR="00F9592F" w:rsidRPr="00FA5FE1" w:rsidRDefault="00F9592F" w:rsidP="009865D0">
            <w:pPr>
              <w:ind w:right="-1"/>
              <w:jc w:val="both"/>
              <w:rPr>
                <w:rFonts w:cs="Arial"/>
                <w:iCs/>
                <w:szCs w:val="20"/>
                <w:lang w:eastAsia="es-ES"/>
              </w:rPr>
            </w:pPr>
            <w:r w:rsidRPr="00FA5FE1">
              <w:rPr>
                <w:rFonts w:cs="Arial"/>
                <w:iCs/>
                <w:szCs w:val="20"/>
                <w:lang w:eastAsia="es-ES"/>
              </w:rPr>
              <w:t>Los asuntos en corchetes [ ] indican información a ser insertada.  Los asuntos en paréntesis ( ) sugieren redacción alternativa.</w:t>
            </w:r>
          </w:p>
          <w:p w14:paraId="5F5AF377" w14:textId="77777777" w:rsidR="00F9592F" w:rsidRPr="00FA5FE1" w:rsidRDefault="00F9592F" w:rsidP="009865D0">
            <w:pPr>
              <w:ind w:right="-1"/>
              <w:jc w:val="both"/>
              <w:rPr>
                <w:rFonts w:cs="Arial"/>
                <w:iCs/>
                <w:szCs w:val="20"/>
                <w:lang w:eastAsia="es-ES"/>
              </w:rPr>
            </w:pPr>
          </w:p>
          <w:p w14:paraId="3F3AFBC4" w14:textId="77777777" w:rsidR="00F9592F" w:rsidRPr="00FA5FE1" w:rsidRDefault="00F9592F" w:rsidP="009865D0">
            <w:pPr>
              <w:ind w:right="-1"/>
              <w:jc w:val="both"/>
              <w:rPr>
                <w:rFonts w:eastAsia="MS Mincho" w:cs="Arial"/>
                <w:b/>
                <w:bCs/>
                <w:szCs w:val="20"/>
                <w:lang w:val="es-ES_tradnl" w:eastAsia="es-ES"/>
              </w:rPr>
            </w:pPr>
            <w:r w:rsidRPr="00FA5FE1">
              <w:rPr>
                <w:rFonts w:eastAsia="MS Mincho" w:cs="Arial"/>
                <w:b/>
                <w:bCs/>
                <w:szCs w:val="20"/>
                <w:lang w:val="es-ES_tradnl" w:eastAsia="es-ES"/>
              </w:rPr>
              <w:t>[Nombre de la entidad]</w:t>
            </w:r>
          </w:p>
          <w:p w14:paraId="54D95862" w14:textId="77777777" w:rsidR="00F9592F" w:rsidRPr="00FA5FE1" w:rsidRDefault="00F9592F" w:rsidP="009865D0">
            <w:pPr>
              <w:ind w:right="-1"/>
              <w:jc w:val="both"/>
              <w:rPr>
                <w:rFonts w:eastAsia="Calibri" w:cs="Arial"/>
                <w:iCs/>
                <w:szCs w:val="20"/>
                <w:lang w:val="es-ES_tradnl"/>
              </w:rPr>
            </w:pPr>
            <w:r w:rsidRPr="00FA5FE1">
              <w:rPr>
                <w:rFonts w:eastAsia="Calibri" w:cs="Arial"/>
                <w:iCs/>
                <w:szCs w:val="20"/>
                <w:lang w:val="es-ES_tradnl"/>
              </w:rPr>
              <w:t>(Ejemplo de Memorando de revisión analítica)</w:t>
            </w:r>
          </w:p>
          <w:p w14:paraId="31207AB3" w14:textId="77777777" w:rsidR="00F9592F" w:rsidRPr="00FA5FE1" w:rsidRDefault="00F9592F" w:rsidP="009865D0">
            <w:pPr>
              <w:ind w:right="-1"/>
              <w:jc w:val="both"/>
              <w:rPr>
                <w:rFonts w:eastAsia="Calibri" w:cs="Arial"/>
                <w:szCs w:val="20"/>
                <w:lang w:val="es-ES_tradnl"/>
              </w:rPr>
            </w:pPr>
          </w:p>
          <w:p w14:paraId="460FE95D" w14:textId="77777777" w:rsidR="00F9592F" w:rsidRPr="00FA5FE1" w:rsidRDefault="00F9592F" w:rsidP="009865D0">
            <w:pPr>
              <w:ind w:right="-1"/>
              <w:jc w:val="both"/>
              <w:rPr>
                <w:rFonts w:cs="Arial"/>
                <w:szCs w:val="20"/>
                <w:lang w:eastAsia="es-ES"/>
              </w:rPr>
            </w:pPr>
            <w:r w:rsidRPr="00FA5FE1">
              <w:rPr>
                <w:rFonts w:cs="Arial"/>
                <w:szCs w:val="20"/>
                <w:lang w:eastAsia="es-ES"/>
              </w:rPr>
              <w:t>Con el fin de verificar la razonabilidad de los saldos mostrados en los estados financieros de [nombre de la entidad] al [poner fecha], y teniendo en consideración el entendimiento de las operaciones de la entidad, se ha efectuado una revisión analítica preliminar, cuyos comentarios son como sigue:</w:t>
            </w:r>
          </w:p>
          <w:p w14:paraId="6B78616F" w14:textId="77777777" w:rsidR="00F9592F" w:rsidRPr="00FA5FE1" w:rsidRDefault="00F9592F" w:rsidP="009865D0">
            <w:pPr>
              <w:ind w:right="-1"/>
              <w:jc w:val="both"/>
              <w:rPr>
                <w:rFonts w:cs="Arial"/>
                <w:szCs w:val="20"/>
                <w:lang w:eastAsia="es-ES"/>
              </w:rPr>
            </w:pPr>
          </w:p>
          <w:p w14:paraId="043ED890" w14:textId="77777777" w:rsidR="00F9592F" w:rsidRPr="00FA5FE1" w:rsidRDefault="00F9592F" w:rsidP="009865D0">
            <w:pPr>
              <w:tabs>
                <w:tab w:val="left" w:pos="345"/>
              </w:tabs>
              <w:ind w:right="-1"/>
              <w:jc w:val="both"/>
              <w:rPr>
                <w:rFonts w:cs="Arial"/>
                <w:szCs w:val="20"/>
                <w:lang w:eastAsia="es-ES"/>
              </w:rPr>
            </w:pPr>
            <w:r w:rsidRPr="00FA5FE1">
              <w:rPr>
                <w:rFonts w:cs="Arial"/>
                <w:szCs w:val="20"/>
                <w:lang w:eastAsia="es-ES"/>
              </w:rPr>
              <w:t xml:space="preserve">Para fines de revisión del resultado de las operaciones se ha considerado revisar el estado de gestión no auditados por el periodo de [poner los 9 meses terminados en el mes de setiembre del periodo y el año a comparación ejemplo: 9 meses terminados al 30 de setiembre de 20X1 y 31 de setiembre de 20X2], siendo las siguientes las principales variaciones: </w:t>
            </w:r>
          </w:p>
          <w:p w14:paraId="7A06BBE4" w14:textId="77777777" w:rsidR="00F9592F" w:rsidRPr="00FA5FE1" w:rsidRDefault="00F9592F" w:rsidP="009865D0">
            <w:pPr>
              <w:tabs>
                <w:tab w:val="left" w:pos="345"/>
              </w:tabs>
              <w:ind w:right="-1"/>
              <w:jc w:val="both"/>
              <w:rPr>
                <w:rFonts w:cs="Arial"/>
                <w:szCs w:val="20"/>
                <w:lang w:eastAsia="es-ES"/>
              </w:rPr>
            </w:pPr>
          </w:p>
          <w:p w14:paraId="6F6300C7" w14:textId="77777777" w:rsidR="00F9592F" w:rsidRPr="00FA5FE1" w:rsidRDefault="00F9592F" w:rsidP="009865D0">
            <w:pPr>
              <w:ind w:right="-1"/>
              <w:jc w:val="both"/>
              <w:rPr>
                <w:rFonts w:cs="Arial"/>
                <w:szCs w:val="20"/>
                <w:lang w:eastAsia="es-ES"/>
              </w:rPr>
            </w:pPr>
            <w:r w:rsidRPr="00FA5FE1">
              <w:rPr>
                <w:rFonts w:cs="Arial"/>
                <w:szCs w:val="20"/>
                <w:lang w:eastAsia="es-ES"/>
              </w:rPr>
              <w:t>Durante los nueve meses del año [poner el año], la entidad generó ingresos tributarios por S/. E ingresos no tributarios por S/. y otorgó devoluciones por pagos en exceso por S/.</w:t>
            </w:r>
          </w:p>
          <w:p w14:paraId="4421C250" w14:textId="77777777" w:rsidR="00F9592F" w:rsidRPr="00FA5FE1" w:rsidRDefault="00F9592F" w:rsidP="009865D0">
            <w:pPr>
              <w:ind w:right="-1"/>
              <w:jc w:val="both"/>
              <w:rPr>
                <w:rFonts w:cs="Arial"/>
                <w:szCs w:val="20"/>
                <w:lang w:eastAsia="es-ES"/>
              </w:rPr>
            </w:pPr>
          </w:p>
          <w:p w14:paraId="5E283FD1" w14:textId="77777777" w:rsidR="00F9592F" w:rsidRPr="00FA5FE1" w:rsidRDefault="00F9592F" w:rsidP="009865D0">
            <w:pPr>
              <w:ind w:right="-1"/>
              <w:jc w:val="both"/>
              <w:rPr>
                <w:rFonts w:cs="Arial"/>
                <w:szCs w:val="20"/>
                <w:lang w:eastAsia="es-ES"/>
              </w:rPr>
            </w:pPr>
            <w:r w:rsidRPr="00FA5FE1">
              <w:rPr>
                <w:rFonts w:cs="Arial"/>
                <w:szCs w:val="20"/>
                <w:lang w:eastAsia="es-ES"/>
              </w:rPr>
              <w:t>Los principales cambios que se apreciaron en los meses analizados [cantidad de meses de revisión] meses del [año de revisión], con respecto al mismo periodo durante el [año previo comparativo], fueron:</w:t>
            </w:r>
          </w:p>
          <w:p w14:paraId="49251D13" w14:textId="77777777" w:rsidR="00F9592F" w:rsidRPr="00FA5FE1" w:rsidRDefault="00F9592F" w:rsidP="009865D0">
            <w:pPr>
              <w:ind w:right="-1"/>
              <w:jc w:val="both"/>
              <w:rPr>
                <w:rFonts w:cs="Arial"/>
                <w:szCs w:val="20"/>
                <w:lang w:eastAsia="es-ES"/>
              </w:rPr>
            </w:pPr>
          </w:p>
          <w:p w14:paraId="2FD94E2D" w14:textId="77777777" w:rsidR="00F9592F" w:rsidRPr="00FA5FE1" w:rsidRDefault="00F9592F" w:rsidP="00271B26">
            <w:pPr>
              <w:widowControl/>
              <w:numPr>
                <w:ilvl w:val="0"/>
                <w:numId w:val="112"/>
              </w:numPr>
              <w:tabs>
                <w:tab w:val="left" w:pos="405"/>
              </w:tabs>
              <w:autoSpaceDE/>
              <w:autoSpaceDN/>
              <w:ind w:left="426" w:right="-1" w:hanging="284"/>
              <w:jc w:val="both"/>
              <w:rPr>
                <w:rFonts w:cs="Arial"/>
                <w:szCs w:val="20"/>
                <w:lang w:eastAsia="es-ES"/>
              </w:rPr>
            </w:pPr>
            <w:r w:rsidRPr="00FA5FE1">
              <w:rPr>
                <w:rFonts w:cs="Arial"/>
                <w:szCs w:val="20"/>
                <w:lang w:eastAsia="es-ES"/>
              </w:rPr>
              <w:t xml:space="preserve">Disminución en los ingresos tributarios y no tributarios por [S/.] (disminución en [variación en número] por ciento con respecto al mismo periodo del año [año previo comparativo]) principalmente por la disminución en la línea del impuestos predial por [S/.], la línea de ingresos por impuesto a la alcabala por [S/.] e [importes en cantidad por ejemplo número de contribuyentes] ([variación en número] por ciento y [variación en número] por ciento menos que el mismo periodo del [año previo comparativo] respectivamente) y de la línea de otros tributos por  [S/.] e [importes en cantidad ] ([variación en número] y [variación en número] por ciento menos que el mismo periodo del [año previo comparativo] respectivamente) . </w:t>
            </w:r>
          </w:p>
          <w:p w14:paraId="3E98D9E2" w14:textId="77777777" w:rsidR="00F9592F" w:rsidRPr="00FA5FE1" w:rsidRDefault="00F9592F" w:rsidP="009865D0">
            <w:pPr>
              <w:tabs>
                <w:tab w:val="left" w:pos="405"/>
              </w:tabs>
              <w:ind w:left="142" w:right="-1"/>
              <w:jc w:val="both"/>
              <w:rPr>
                <w:rFonts w:cs="Arial"/>
                <w:szCs w:val="20"/>
                <w:lang w:eastAsia="es-ES"/>
              </w:rPr>
            </w:pPr>
          </w:p>
          <w:p w14:paraId="08EB7C29" w14:textId="77777777" w:rsidR="00F9592F" w:rsidRPr="00FA5FE1" w:rsidRDefault="00F9592F" w:rsidP="00271B26">
            <w:pPr>
              <w:widowControl/>
              <w:numPr>
                <w:ilvl w:val="0"/>
                <w:numId w:val="112"/>
              </w:numPr>
              <w:tabs>
                <w:tab w:val="left" w:pos="405"/>
              </w:tabs>
              <w:autoSpaceDE/>
              <w:autoSpaceDN/>
              <w:ind w:left="426" w:right="-1" w:hanging="284"/>
              <w:jc w:val="both"/>
              <w:rPr>
                <w:rFonts w:cs="Arial"/>
                <w:szCs w:val="20"/>
                <w:lang w:eastAsia="es-ES"/>
              </w:rPr>
            </w:pPr>
            <w:r w:rsidRPr="00FA5FE1">
              <w:rPr>
                <w:rFonts w:cs="Arial"/>
                <w:szCs w:val="20"/>
                <w:lang w:eastAsia="es-ES"/>
              </w:rPr>
              <w:t>Disminución y/o aumento en los gastos de personal por [S/.] ([variación en número] por ciento con respecto al año anterior) principalmente por sueldos [S/] debido al ingreso a la parte administrativa de personal de confianza en puestos clave que realizaban labores en el área de abastecimientos y contrataciones cuyos sueldos se registran como parte del proceso de contrataciones, así como un mayor gasto en honorarios profesionales pagados por asesoría y consultoría por [ S/.] fundamentalmente para asesoría legal para el área de contratos en cuanto a diseños y desarrollo de los procesos de selección.</w:t>
            </w:r>
          </w:p>
          <w:p w14:paraId="4D06E831" w14:textId="77777777" w:rsidR="00F9592F" w:rsidRPr="00FA5FE1" w:rsidRDefault="00F9592F" w:rsidP="009865D0">
            <w:pPr>
              <w:tabs>
                <w:tab w:val="left" w:pos="405"/>
              </w:tabs>
              <w:ind w:left="142" w:right="-1"/>
              <w:jc w:val="both"/>
              <w:rPr>
                <w:rFonts w:cs="Arial"/>
                <w:szCs w:val="20"/>
                <w:lang w:eastAsia="es-ES"/>
              </w:rPr>
            </w:pPr>
          </w:p>
          <w:p w14:paraId="1D067B97" w14:textId="77777777" w:rsidR="00F9592F" w:rsidRPr="00FA5FE1" w:rsidRDefault="00F9592F" w:rsidP="00271B26">
            <w:pPr>
              <w:widowControl/>
              <w:numPr>
                <w:ilvl w:val="0"/>
                <w:numId w:val="112"/>
              </w:numPr>
              <w:tabs>
                <w:tab w:val="left" w:pos="405"/>
              </w:tabs>
              <w:autoSpaceDE/>
              <w:autoSpaceDN/>
              <w:ind w:left="426" w:right="-1" w:hanging="284"/>
              <w:jc w:val="both"/>
              <w:rPr>
                <w:rFonts w:cs="Arial"/>
                <w:szCs w:val="20"/>
                <w:lang w:eastAsia="es-ES"/>
              </w:rPr>
            </w:pPr>
            <w:r w:rsidRPr="00FA5FE1">
              <w:rPr>
                <w:rFonts w:cs="Arial"/>
                <w:szCs w:val="20"/>
                <w:lang w:eastAsia="es-ES"/>
              </w:rPr>
              <w:t>Aumento en los gastos financieros por [S/.] ([variación en número] por ciento con respecto al año anterior) que comprenden el importe de [S/.] por préstamos muy onerosos para el financiamiento del hospital… [incluir explicación de la variación].</w:t>
            </w:r>
          </w:p>
          <w:p w14:paraId="1CC016E4" w14:textId="77777777" w:rsidR="00F9592F" w:rsidRPr="00FA5FE1" w:rsidRDefault="00F9592F" w:rsidP="009865D0">
            <w:pPr>
              <w:ind w:right="-1"/>
              <w:jc w:val="both"/>
              <w:rPr>
                <w:rFonts w:cs="Arial"/>
                <w:szCs w:val="20"/>
                <w:lang w:eastAsia="es-ES"/>
              </w:rPr>
            </w:pPr>
          </w:p>
          <w:p w14:paraId="103AE3CD" w14:textId="77777777" w:rsidR="00F9592F" w:rsidRPr="00FA5FE1" w:rsidRDefault="00F9592F" w:rsidP="009865D0">
            <w:pPr>
              <w:ind w:right="-1"/>
              <w:jc w:val="both"/>
              <w:rPr>
                <w:rFonts w:cs="Arial"/>
                <w:szCs w:val="20"/>
                <w:lang w:eastAsia="es-ES"/>
              </w:rPr>
            </w:pPr>
            <w:r w:rsidRPr="00FA5FE1">
              <w:rPr>
                <w:rFonts w:cs="Arial"/>
                <w:szCs w:val="20"/>
                <w:lang w:eastAsia="es-ES"/>
              </w:rPr>
              <w:t>Al [mes y año de revisión], la entidad contaba con activos totales por [S/], conformado principalmente por Efectivo y equivalente de efectivo ([% sobre total de activos]); cuentas por cobrar tributario, neto ([% sobre total de activos]); cuentas por cobrar no tributario ([% sobre total de activos]); otras cuentas por cobrar ([% sobre total de activos]); existencias, neto ([% sobre total de activos]); anticipos a contratistas, encargos y gastos pagados por adelantado ([% sobre total de activos]), neto  ([% sobre total de activos]); propiedad, planta y equipo ([% sobre total de activos]) y otros ([% sobre total de activos]).</w:t>
            </w:r>
          </w:p>
          <w:p w14:paraId="3E41E113" w14:textId="77777777" w:rsidR="00F9592F" w:rsidRPr="00FA5FE1" w:rsidRDefault="00F9592F" w:rsidP="009865D0">
            <w:pPr>
              <w:ind w:right="-1"/>
              <w:jc w:val="both"/>
              <w:rPr>
                <w:rFonts w:cs="Arial"/>
                <w:szCs w:val="20"/>
                <w:lang w:eastAsia="es-ES"/>
              </w:rPr>
            </w:pPr>
          </w:p>
          <w:p w14:paraId="00647930" w14:textId="77777777" w:rsidR="00F9592F" w:rsidRPr="00FA5FE1" w:rsidRDefault="00F9592F" w:rsidP="009865D0">
            <w:pPr>
              <w:ind w:right="-1"/>
              <w:jc w:val="both"/>
              <w:rPr>
                <w:rFonts w:cs="Arial"/>
                <w:szCs w:val="20"/>
                <w:lang w:eastAsia="es-ES"/>
              </w:rPr>
            </w:pPr>
            <w:r w:rsidRPr="00FA5FE1">
              <w:rPr>
                <w:rFonts w:cs="Arial"/>
                <w:szCs w:val="20"/>
                <w:lang w:eastAsia="es-ES"/>
              </w:rPr>
              <w:t>[Fecha de revisión] el total de activos aumento en [ S/] ([variación en número] por ciento con respecto al [año previo comparativo]) debido a los siguientes efectos netos:</w:t>
            </w:r>
          </w:p>
          <w:p w14:paraId="2989CD67" w14:textId="77777777" w:rsidR="00F9592F" w:rsidRPr="00FA5FE1" w:rsidRDefault="00F9592F" w:rsidP="009865D0">
            <w:pPr>
              <w:ind w:right="-1"/>
              <w:jc w:val="both"/>
              <w:rPr>
                <w:rFonts w:cs="Arial"/>
                <w:szCs w:val="20"/>
                <w:lang w:eastAsia="es-ES"/>
              </w:rPr>
            </w:pPr>
          </w:p>
          <w:p w14:paraId="2699AD48" w14:textId="77777777" w:rsidR="00F9592F" w:rsidRPr="00FA5FE1" w:rsidRDefault="00F9592F" w:rsidP="00271B26">
            <w:pPr>
              <w:pStyle w:val="Prrafodelista"/>
              <w:widowControl/>
              <w:numPr>
                <w:ilvl w:val="0"/>
                <w:numId w:val="150"/>
              </w:numPr>
              <w:tabs>
                <w:tab w:val="left" w:pos="480"/>
              </w:tabs>
              <w:autoSpaceDE/>
              <w:autoSpaceDN/>
              <w:ind w:left="567" w:right="-1" w:hanging="283"/>
              <w:contextualSpacing/>
              <w:jc w:val="both"/>
              <w:rPr>
                <w:rFonts w:cs="Arial"/>
                <w:szCs w:val="20"/>
                <w:lang w:val="es-ES_tradnl"/>
              </w:rPr>
            </w:pPr>
            <w:r w:rsidRPr="00FA5FE1">
              <w:rPr>
                <w:rFonts w:cs="Arial"/>
                <w:szCs w:val="20"/>
                <w:lang w:val="es-ES_tradnl"/>
              </w:rPr>
              <w:lastRenderedPageBreak/>
              <w:t xml:space="preserve">  Aumento de las cuentas por cobrar tributarios [S/.] ([variación en número] por ciento con respecto al año anterior) relacionado al mayor volumen de contribuyentes durante los últimos meses y también al mayor número de días en la cobranza de las cuentas por cobrar durante los últimos meses.</w:t>
            </w:r>
          </w:p>
          <w:p w14:paraId="7099623E" w14:textId="77777777" w:rsidR="00F9592F" w:rsidRPr="00FA5FE1" w:rsidRDefault="00F9592F" w:rsidP="009865D0">
            <w:pPr>
              <w:tabs>
                <w:tab w:val="left" w:pos="480"/>
              </w:tabs>
              <w:ind w:right="-1"/>
              <w:jc w:val="both"/>
              <w:rPr>
                <w:rFonts w:eastAsia="Calibri" w:cs="Arial"/>
                <w:szCs w:val="20"/>
                <w:lang w:val="es-ES_tradnl"/>
              </w:rPr>
            </w:pPr>
          </w:p>
          <w:p w14:paraId="475AE27A" w14:textId="77777777" w:rsidR="00F9592F" w:rsidRPr="00FA5FE1" w:rsidRDefault="00F9592F" w:rsidP="00271B26">
            <w:pPr>
              <w:widowControl/>
              <w:numPr>
                <w:ilvl w:val="0"/>
                <w:numId w:val="113"/>
              </w:numPr>
              <w:tabs>
                <w:tab w:val="left" w:pos="480"/>
              </w:tabs>
              <w:autoSpaceDE/>
              <w:autoSpaceDN/>
              <w:ind w:left="567" w:right="-1" w:hanging="283"/>
              <w:jc w:val="both"/>
              <w:rPr>
                <w:rFonts w:eastAsia="Calibri" w:cs="Arial"/>
                <w:szCs w:val="20"/>
                <w:lang w:val="es-ES_tradnl"/>
              </w:rPr>
            </w:pPr>
            <w:r w:rsidRPr="00FA5FE1">
              <w:rPr>
                <w:rFonts w:eastAsia="Calibri" w:cs="Arial"/>
                <w:szCs w:val="20"/>
                <w:lang w:val="es-ES_tradnl"/>
              </w:rPr>
              <w:t xml:space="preserve">  Disminución de existencias por [S/.] ([variación en número] por ciento con respecto al año anterior) principalmente en el rubro de suministros de funcionamiento por [S/.] miles dado que a la fecha de la revisión se encontraba aún pendiente el abastecimiento por parte de logística de los principales elementos por la adquisición de alimentos para los programas sociales [mencionar principales elementos]. Los demás rubros de existencias como lo son productos terminados, productos en procesos, suministros han estado con los saldos promedios esperados, salvo el de semillas y abonos destinados a los programas de parques y jardines que se ha incrementado en [S/.] principalmente por el programa “Lima te quiero verde”.</w:t>
            </w:r>
          </w:p>
          <w:p w14:paraId="04AF4933" w14:textId="77777777" w:rsidR="00F9592F" w:rsidRPr="00FA5FE1" w:rsidRDefault="00F9592F" w:rsidP="009865D0">
            <w:pPr>
              <w:tabs>
                <w:tab w:val="left" w:pos="480"/>
              </w:tabs>
              <w:ind w:right="-1"/>
              <w:jc w:val="both"/>
              <w:rPr>
                <w:rFonts w:eastAsia="Calibri" w:cs="Arial"/>
                <w:szCs w:val="20"/>
                <w:lang w:val="es-ES_tradnl"/>
              </w:rPr>
            </w:pPr>
          </w:p>
          <w:p w14:paraId="5397EC10" w14:textId="77777777" w:rsidR="00F9592F" w:rsidRPr="00FA5FE1" w:rsidRDefault="00F9592F" w:rsidP="00271B26">
            <w:pPr>
              <w:widowControl/>
              <w:numPr>
                <w:ilvl w:val="0"/>
                <w:numId w:val="113"/>
              </w:numPr>
              <w:tabs>
                <w:tab w:val="left" w:pos="480"/>
              </w:tabs>
              <w:autoSpaceDE/>
              <w:autoSpaceDN/>
              <w:ind w:left="567" w:right="-1" w:hanging="283"/>
              <w:jc w:val="both"/>
              <w:rPr>
                <w:rFonts w:eastAsia="Calibri" w:cs="Arial"/>
                <w:szCs w:val="20"/>
                <w:lang w:val="es-ES_tradnl"/>
              </w:rPr>
            </w:pPr>
            <w:r w:rsidRPr="00FA5FE1">
              <w:rPr>
                <w:rFonts w:eastAsia="Calibri" w:cs="Arial"/>
                <w:szCs w:val="20"/>
                <w:lang w:val="es-ES_tradnl"/>
              </w:rPr>
              <w:t xml:space="preserve">  Aumento en la cuenta de encargos otorgados y no rendidos hasta la fecha y gastos  pagados por anticipados por [US$ o S/.] ([variación en número] por ciento con respecto al año anterior) principalmente por los pagos a cuenta a proveedores por [S/.] y el anticipo adicional por comisiones de servicios, aún no rendidos por [S/.] así como la activación de gastos por seguros y alquileres adelantados por [US$ o S/].}</w:t>
            </w:r>
          </w:p>
          <w:p w14:paraId="0648070B" w14:textId="77777777" w:rsidR="00F9592F" w:rsidRPr="00FA5FE1" w:rsidRDefault="00F9592F" w:rsidP="009865D0">
            <w:pPr>
              <w:tabs>
                <w:tab w:val="left" w:pos="480"/>
              </w:tabs>
              <w:ind w:right="-1"/>
              <w:jc w:val="both"/>
              <w:rPr>
                <w:rFonts w:eastAsia="Calibri" w:cs="Arial"/>
                <w:szCs w:val="20"/>
                <w:lang w:val="es-ES_tradnl"/>
              </w:rPr>
            </w:pPr>
          </w:p>
          <w:p w14:paraId="1442F3AF" w14:textId="77777777" w:rsidR="00F9592F" w:rsidRPr="00FA5FE1" w:rsidRDefault="00F9592F" w:rsidP="00271B26">
            <w:pPr>
              <w:widowControl/>
              <w:numPr>
                <w:ilvl w:val="0"/>
                <w:numId w:val="113"/>
              </w:numPr>
              <w:tabs>
                <w:tab w:val="left" w:pos="480"/>
              </w:tabs>
              <w:autoSpaceDE/>
              <w:autoSpaceDN/>
              <w:ind w:left="567" w:right="-1" w:hanging="283"/>
              <w:jc w:val="both"/>
              <w:rPr>
                <w:rFonts w:eastAsia="Calibri" w:cs="Arial"/>
                <w:szCs w:val="20"/>
                <w:lang w:val="es-ES_tradnl"/>
              </w:rPr>
            </w:pPr>
            <w:r w:rsidRPr="00FA5FE1">
              <w:rPr>
                <w:rFonts w:eastAsia="Calibri" w:cs="Arial"/>
                <w:szCs w:val="20"/>
                <w:lang w:val="es-ES_tradnl"/>
              </w:rPr>
              <w:t xml:space="preserve">  La entidad ha realizado compras de activo fijo para implementar el hospital de… durante el año [Fecha de revisión] por [S/.] miles aproximadamente principalmente en la adquisición de maquinarias e instrumental médico para equipar el hospital de… realizando una inversión aproximada de  [S/.].</w:t>
            </w:r>
          </w:p>
          <w:p w14:paraId="678B4D60" w14:textId="77777777" w:rsidR="00F9592F" w:rsidRPr="00FA5FE1" w:rsidRDefault="00F9592F" w:rsidP="009865D0">
            <w:pPr>
              <w:tabs>
                <w:tab w:val="left" w:pos="480"/>
              </w:tabs>
              <w:ind w:left="284" w:right="-1"/>
              <w:jc w:val="both"/>
              <w:rPr>
                <w:rFonts w:eastAsia="Calibri" w:cs="Arial"/>
                <w:szCs w:val="20"/>
                <w:lang w:val="es-ES_tradnl"/>
              </w:rPr>
            </w:pPr>
          </w:p>
          <w:p w14:paraId="66243CAE" w14:textId="77777777" w:rsidR="00F9592F" w:rsidRPr="00FA5FE1" w:rsidRDefault="00F9592F" w:rsidP="009865D0">
            <w:pPr>
              <w:tabs>
                <w:tab w:val="left" w:pos="993"/>
              </w:tabs>
              <w:ind w:right="-1"/>
              <w:jc w:val="both"/>
              <w:rPr>
                <w:rFonts w:cs="Arial"/>
                <w:szCs w:val="20"/>
                <w:lang w:eastAsia="es-ES"/>
              </w:rPr>
            </w:pPr>
            <w:r w:rsidRPr="00FA5FE1">
              <w:rPr>
                <w:rFonts w:cs="Arial"/>
                <w:szCs w:val="20"/>
                <w:lang w:eastAsia="es-ES"/>
              </w:rPr>
              <w:t>Con relación a los pasivos, ellos totalizaron [S/.] distribuidos en: sobregiros y remuneraciones por pagar [% sobre total de pasivos], cuentas por pagar comerciales [% sobre total de pasivos], cuentas por pagar vinculadas [% sobre total de pasivos], deuda a largo plazo [% sobre total de pasivos], remuneraciones y participaciones por pagar deuda a largo plazo por préstamos obtenidos para el financiamiento de obras públicas y otras cuentas por pagar [% sobre total de pasivos].</w:t>
            </w:r>
          </w:p>
          <w:p w14:paraId="1738D321" w14:textId="77777777" w:rsidR="00F9592F" w:rsidRPr="00FA5FE1" w:rsidRDefault="00F9592F" w:rsidP="009865D0">
            <w:pPr>
              <w:tabs>
                <w:tab w:val="left" w:pos="993"/>
              </w:tabs>
              <w:ind w:right="-1"/>
              <w:jc w:val="both"/>
              <w:rPr>
                <w:rFonts w:cs="Arial"/>
                <w:szCs w:val="20"/>
                <w:lang w:eastAsia="es-ES"/>
              </w:rPr>
            </w:pPr>
          </w:p>
          <w:p w14:paraId="7A084C63" w14:textId="77777777" w:rsidR="00F9592F" w:rsidRPr="00FA5FE1" w:rsidRDefault="00F9592F" w:rsidP="009865D0">
            <w:pPr>
              <w:ind w:right="-1"/>
              <w:jc w:val="both"/>
              <w:rPr>
                <w:rFonts w:cs="Arial"/>
                <w:szCs w:val="20"/>
                <w:lang w:eastAsia="es-ES"/>
              </w:rPr>
            </w:pPr>
            <w:r w:rsidRPr="00FA5FE1">
              <w:rPr>
                <w:rFonts w:cs="Arial"/>
                <w:szCs w:val="20"/>
                <w:lang w:eastAsia="es-ES"/>
              </w:rPr>
              <w:t>El total de pasivo corriente se incrementó por [S/.] en [variación en número] en un por ciento con respecto a [año previo comparativo] debido a los siguientes afectos netos:</w:t>
            </w:r>
          </w:p>
          <w:p w14:paraId="2B676309" w14:textId="77777777" w:rsidR="00F9592F" w:rsidRPr="00FA5FE1" w:rsidRDefault="00F9592F" w:rsidP="009865D0">
            <w:pPr>
              <w:ind w:right="-1"/>
              <w:jc w:val="both"/>
              <w:rPr>
                <w:rFonts w:cs="Arial"/>
                <w:szCs w:val="20"/>
                <w:lang w:eastAsia="es-ES"/>
              </w:rPr>
            </w:pPr>
          </w:p>
          <w:p w14:paraId="384F077E" w14:textId="77777777" w:rsidR="00F9592F" w:rsidRPr="00FA5FE1" w:rsidRDefault="00F9592F" w:rsidP="00271B26">
            <w:pPr>
              <w:pStyle w:val="Prrafodelista"/>
              <w:widowControl/>
              <w:numPr>
                <w:ilvl w:val="0"/>
                <w:numId w:val="150"/>
              </w:numPr>
              <w:tabs>
                <w:tab w:val="left" w:pos="480"/>
              </w:tabs>
              <w:autoSpaceDE/>
              <w:autoSpaceDN/>
              <w:ind w:left="567" w:right="-1" w:hanging="283"/>
              <w:contextualSpacing/>
              <w:jc w:val="both"/>
              <w:rPr>
                <w:rFonts w:cs="Arial"/>
                <w:szCs w:val="20"/>
                <w:lang w:val="es-ES_tradnl"/>
              </w:rPr>
            </w:pPr>
            <w:r w:rsidRPr="00FA5FE1">
              <w:rPr>
                <w:rFonts w:cs="Arial"/>
                <w:szCs w:val="20"/>
                <w:lang w:val="es-ES_tradnl"/>
              </w:rPr>
              <w:t xml:space="preserve"> Aumento y/o disminución por obligaciones contraídas con suscriptores de bonos soberanos (pago de intereses por vencimientos en los bonos soberanos). </w:t>
            </w:r>
          </w:p>
          <w:p w14:paraId="4ADF4198" w14:textId="77777777" w:rsidR="00F9592F" w:rsidRPr="00FA5FE1" w:rsidRDefault="00F9592F" w:rsidP="00271B26">
            <w:pPr>
              <w:pStyle w:val="Prrafodelista"/>
              <w:widowControl/>
              <w:numPr>
                <w:ilvl w:val="0"/>
                <w:numId w:val="150"/>
              </w:numPr>
              <w:tabs>
                <w:tab w:val="left" w:pos="480"/>
              </w:tabs>
              <w:autoSpaceDE/>
              <w:autoSpaceDN/>
              <w:ind w:left="567" w:right="-1" w:hanging="283"/>
              <w:contextualSpacing/>
              <w:jc w:val="both"/>
              <w:rPr>
                <w:rFonts w:cs="Arial"/>
                <w:szCs w:val="20"/>
                <w:lang w:val="es-ES_tradnl"/>
              </w:rPr>
            </w:pPr>
            <w:r w:rsidRPr="00FA5FE1">
              <w:rPr>
                <w:rFonts w:cs="Arial"/>
                <w:szCs w:val="20"/>
                <w:lang w:val="es-ES_tradnl"/>
              </w:rPr>
              <w:t xml:space="preserve"> Disminución de la deuda a largo plazo para convertirse en deudas a corto plazo de las obligaciones del periodo en [S/.], [variación en número] por ciento menos que en diciembre de [año previo comparativo] debido a que los plazos de pago de la deuda con el Banco de la Nación y el Banco los Gavilanes cuyo vencimiento se realiza en diciembre de 20X1 y 20X2 respectivamente con lo cual la entidad ha venido cumpliendo con realizar las amortizaciones de dichas deudas.</w:t>
            </w:r>
          </w:p>
          <w:p w14:paraId="71E42F5E" w14:textId="77777777" w:rsidR="00F9592F" w:rsidRPr="00FA5FE1" w:rsidRDefault="00F9592F" w:rsidP="009865D0">
            <w:pPr>
              <w:tabs>
                <w:tab w:val="left" w:pos="495"/>
              </w:tabs>
              <w:ind w:left="284" w:right="-1"/>
              <w:jc w:val="both"/>
              <w:rPr>
                <w:rFonts w:eastAsia="Calibri" w:cs="Arial"/>
                <w:szCs w:val="20"/>
                <w:lang w:val="es-ES_tradnl"/>
              </w:rPr>
            </w:pPr>
          </w:p>
          <w:p w14:paraId="59FA3078" w14:textId="77777777" w:rsidR="00F9592F" w:rsidRPr="00FA5FE1" w:rsidRDefault="00F9592F" w:rsidP="009865D0">
            <w:pPr>
              <w:ind w:right="-1"/>
              <w:jc w:val="both"/>
              <w:rPr>
                <w:rFonts w:cs="Arial"/>
                <w:szCs w:val="20"/>
                <w:lang w:eastAsia="es-ES"/>
              </w:rPr>
            </w:pPr>
            <w:r w:rsidRPr="00FA5FE1">
              <w:rPr>
                <w:rFonts w:cs="Arial"/>
                <w:szCs w:val="20"/>
                <w:lang w:eastAsia="es-ES"/>
              </w:rPr>
              <w:t xml:space="preserve">Se ha identificados cuentas de activo y pasivo por encima del error tolerable y la materialidad que no han presentado una variación inusual, por lo que no se ha considerado explicación adicional las cuales han sido consideradas como no significativa. Se cita la más importante: Cuentas por cobrar no tributarias y otras cuentas por pagar. Ambas cuentas no han tenido movimiento y están representados por transacciones puntuales. </w:t>
            </w:r>
          </w:p>
          <w:p w14:paraId="6E22473B" w14:textId="77777777" w:rsidR="00F9592F" w:rsidRPr="00FA5FE1" w:rsidRDefault="00F9592F" w:rsidP="009865D0">
            <w:pPr>
              <w:ind w:right="-1"/>
              <w:jc w:val="both"/>
              <w:rPr>
                <w:rFonts w:cs="Arial"/>
                <w:szCs w:val="20"/>
                <w:lang w:eastAsia="es-ES"/>
              </w:rPr>
            </w:pPr>
          </w:p>
          <w:p w14:paraId="341381E5" w14:textId="77777777" w:rsidR="00F9592F" w:rsidRPr="00FA5FE1" w:rsidRDefault="00F9592F" w:rsidP="009865D0">
            <w:pPr>
              <w:ind w:right="-1"/>
              <w:jc w:val="both"/>
              <w:rPr>
                <w:rFonts w:cs="Arial"/>
                <w:szCs w:val="20"/>
                <w:lang w:eastAsia="es-ES"/>
              </w:rPr>
            </w:pPr>
            <w:r w:rsidRPr="00FA5FE1">
              <w:rPr>
                <w:rFonts w:cs="Arial"/>
                <w:szCs w:val="20"/>
                <w:lang w:eastAsia="es-ES"/>
              </w:rPr>
              <w:t>En conclusión, se considera que las cifras expuestas tienen sentido con el entendimiento de las operaciones más importantes hechas en lo que va del año.</w:t>
            </w:r>
          </w:p>
          <w:p w14:paraId="6B6AF18D" w14:textId="77777777" w:rsidR="00F9592F" w:rsidRPr="00FA5FE1" w:rsidRDefault="00F9592F" w:rsidP="009865D0">
            <w:pPr>
              <w:ind w:right="-1"/>
              <w:jc w:val="both"/>
              <w:rPr>
                <w:rFonts w:cs="Arial"/>
                <w:szCs w:val="20"/>
                <w:lang w:eastAsia="es-ES"/>
              </w:rPr>
            </w:pPr>
          </w:p>
          <w:p w14:paraId="00C19361" w14:textId="77777777" w:rsidR="00F9592F" w:rsidRPr="00FA5FE1" w:rsidRDefault="00F9592F" w:rsidP="009865D0">
            <w:pPr>
              <w:ind w:right="-1"/>
              <w:jc w:val="both"/>
              <w:rPr>
                <w:rFonts w:cs="Arial"/>
                <w:szCs w:val="20"/>
                <w:lang w:eastAsia="es-ES"/>
              </w:rPr>
            </w:pPr>
            <w:r w:rsidRPr="00FA5FE1">
              <w:rPr>
                <w:rFonts w:cs="Arial"/>
                <w:szCs w:val="20"/>
                <w:lang w:eastAsia="es-ES"/>
              </w:rPr>
              <w:t xml:space="preserve">Preparado por:        [Nombre de la persona y cargo]   </w:t>
            </w:r>
            <w:r w:rsidRPr="00FA5FE1">
              <w:rPr>
                <w:rFonts w:cs="Arial"/>
                <w:szCs w:val="20"/>
                <w:lang w:eastAsia="es-ES"/>
              </w:rPr>
              <w:tab/>
            </w:r>
            <w:r w:rsidRPr="00FA5FE1">
              <w:rPr>
                <w:rFonts w:cs="Arial"/>
                <w:szCs w:val="20"/>
                <w:lang w:eastAsia="es-ES"/>
              </w:rPr>
              <w:tab/>
              <w:t>Fecha: [Mes y año]</w:t>
            </w:r>
          </w:p>
          <w:p w14:paraId="1D3FAC1C" w14:textId="77777777" w:rsidR="00F9592F" w:rsidRPr="00FA5FE1" w:rsidRDefault="00F9592F" w:rsidP="009865D0">
            <w:pPr>
              <w:ind w:right="-1"/>
              <w:jc w:val="both"/>
              <w:rPr>
                <w:rFonts w:cs="Arial"/>
                <w:szCs w:val="20"/>
                <w:lang w:eastAsia="es-ES"/>
              </w:rPr>
            </w:pPr>
            <w:r w:rsidRPr="00FA5FE1">
              <w:rPr>
                <w:rFonts w:cs="Arial"/>
                <w:szCs w:val="20"/>
                <w:lang w:eastAsia="es-ES"/>
              </w:rPr>
              <w:t>Revisado por:         [Nombre de la persona y cargo]</w:t>
            </w:r>
            <w:r w:rsidRPr="00FA5FE1">
              <w:rPr>
                <w:rFonts w:cs="Arial"/>
                <w:szCs w:val="20"/>
                <w:lang w:eastAsia="es-ES"/>
              </w:rPr>
              <w:tab/>
            </w:r>
            <w:r w:rsidRPr="00FA5FE1">
              <w:rPr>
                <w:rFonts w:cs="Arial"/>
                <w:szCs w:val="20"/>
                <w:lang w:eastAsia="es-ES"/>
              </w:rPr>
              <w:tab/>
              <w:t>Fecha: [Mes y año]</w:t>
            </w:r>
          </w:p>
          <w:p w14:paraId="2EBA66AC" w14:textId="77777777" w:rsidR="00F9592F" w:rsidRPr="00FA5FE1" w:rsidRDefault="00F9592F" w:rsidP="009865D0">
            <w:pPr>
              <w:ind w:right="-1"/>
              <w:jc w:val="both"/>
              <w:rPr>
                <w:rFonts w:cs="Arial"/>
                <w:szCs w:val="20"/>
                <w:lang w:eastAsia="es-ES"/>
              </w:rPr>
            </w:pPr>
            <w:r w:rsidRPr="00FA5FE1">
              <w:rPr>
                <w:rFonts w:cs="Arial"/>
                <w:szCs w:val="20"/>
                <w:lang w:eastAsia="es-ES"/>
              </w:rPr>
              <w:t xml:space="preserve">Supervisado por:    [Nombre de la persona y cargo] </w:t>
            </w:r>
            <w:r w:rsidRPr="00FA5FE1">
              <w:rPr>
                <w:rFonts w:cs="Arial"/>
                <w:szCs w:val="20"/>
                <w:lang w:eastAsia="es-ES"/>
              </w:rPr>
              <w:tab/>
            </w:r>
            <w:r w:rsidRPr="00FA5FE1">
              <w:rPr>
                <w:rFonts w:cs="Arial"/>
                <w:szCs w:val="20"/>
                <w:lang w:eastAsia="es-ES"/>
              </w:rPr>
              <w:tab/>
              <w:t>Fecha: [Mes y año]</w:t>
            </w:r>
          </w:p>
          <w:p w14:paraId="400191D0" w14:textId="77777777" w:rsidR="00F9592F" w:rsidRPr="00FA5FE1" w:rsidRDefault="00F9592F" w:rsidP="009865D0">
            <w:pPr>
              <w:ind w:right="-1"/>
              <w:jc w:val="both"/>
              <w:rPr>
                <w:rFonts w:eastAsia="MS Mincho" w:cs="Arial"/>
                <w:b/>
                <w:bCs/>
                <w:szCs w:val="20"/>
                <w:lang w:eastAsia="es-ES"/>
              </w:rPr>
            </w:pPr>
          </w:p>
        </w:tc>
      </w:tr>
    </w:tbl>
    <w:p w14:paraId="1C1E4F9C" w14:textId="77777777" w:rsidR="00F9592F" w:rsidRPr="00FA5FE1" w:rsidRDefault="00F9592F" w:rsidP="009865D0">
      <w:pPr>
        <w:ind w:right="-1"/>
        <w:jc w:val="both"/>
        <w:rPr>
          <w:rFonts w:cs="Arial"/>
          <w:szCs w:val="20"/>
          <w:lang w:eastAsia="es-ES"/>
        </w:rPr>
      </w:pPr>
    </w:p>
    <w:sectPr w:rsidR="00F9592F" w:rsidRPr="00FA5FE1" w:rsidSect="005555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ADE8" w14:textId="77777777" w:rsidR="0068454E" w:rsidRDefault="0068454E" w:rsidP="00F960E2">
      <w:r>
        <w:separator/>
      </w:r>
    </w:p>
  </w:endnote>
  <w:endnote w:type="continuationSeparator" w:id="0">
    <w:p w14:paraId="62F0B1E0" w14:textId="77777777" w:rsidR="0068454E" w:rsidRDefault="0068454E"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B571" w14:textId="77777777" w:rsidR="0068454E" w:rsidRDefault="0068454E" w:rsidP="00F960E2">
      <w:r>
        <w:separator/>
      </w:r>
    </w:p>
  </w:footnote>
  <w:footnote w:type="continuationSeparator" w:id="0">
    <w:p w14:paraId="24BC264B" w14:textId="77777777" w:rsidR="0068454E" w:rsidRDefault="0068454E"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454E"/>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38FF26C5-E0A9-415E-96E0-2D751885840C}"/>
</file>

<file path=customXml/itemProps3.xml><?xml version="1.0" encoding="utf-8"?>
<ds:datastoreItem xmlns:ds="http://schemas.openxmlformats.org/officeDocument/2006/customXml" ds:itemID="{BC3AFEC9-F791-4BA9-8344-934536AE7383}"/>
</file>

<file path=customXml/itemProps4.xml><?xml version="1.0" encoding="utf-8"?>
<ds:datastoreItem xmlns:ds="http://schemas.openxmlformats.org/officeDocument/2006/customXml" ds:itemID="{C6A3595D-0C01-4703-9EF2-8966093829BC}"/>
</file>

<file path=docProps/app.xml><?xml version="1.0" encoding="utf-8"?>
<Properties xmlns="http://schemas.openxmlformats.org/officeDocument/2006/extended-properties" xmlns:vt="http://schemas.openxmlformats.org/officeDocument/2006/docPropsVTypes">
  <Template>Normal.dotm</Template>
  <TotalTime>3</TotalTime>
  <Pages>2</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2022-04-07T18:24:00Z</dcterms:created>
  <dcterms:modified xsi:type="dcterms:W3CDTF">2022-04-07T18:24:00Z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