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2C7A" w14:textId="45A65806" w:rsidR="008572E7" w:rsidRPr="00FA5FE1" w:rsidRDefault="00D64332" w:rsidP="008B4BD2">
      <w:pPr>
        <w:widowControl/>
        <w:autoSpaceDE/>
        <w:autoSpaceDN/>
        <w:spacing w:after="160" w:line="259" w:lineRule="auto"/>
        <w:ind w:right="-1"/>
        <w:rPr>
          <w:rFonts w:eastAsia="Times New Roman" w:cs="Arial"/>
          <w:bCs/>
          <w:lang w:val="es-PE"/>
        </w:rPr>
      </w:pPr>
      <w:r w:rsidRPr="00FA5FE1">
        <w:rPr>
          <w:rFonts w:eastAsia="Times New Roman" w:cs="Arial"/>
          <w:lang w:val="es-PE"/>
        </w:rPr>
        <w:t>A</w:t>
      </w:r>
      <w:r w:rsidR="009D5D2A">
        <w:rPr>
          <w:rFonts w:eastAsia="Times New Roman" w:cs="Arial"/>
          <w:lang w:val="es-PE"/>
        </w:rPr>
        <w:t xml:space="preserve">NEXO </w:t>
      </w:r>
      <w:proofErr w:type="spellStart"/>
      <w:r w:rsidR="000A3C51">
        <w:rPr>
          <w:rFonts w:eastAsia="Times New Roman" w:cs="Arial"/>
          <w:lang w:val="es-PE"/>
        </w:rPr>
        <w:t>N°</w:t>
      </w:r>
      <w:proofErr w:type="spellEnd"/>
      <w:r w:rsidR="000A3C51">
        <w:rPr>
          <w:rFonts w:eastAsia="Times New Roman" w:cs="Arial"/>
          <w:lang w:val="es-PE"/>
        </w:rPr>
        <w:t xml:space="preserve"> 03</w:t>
      </w:r>
      <w:r w:rsidRPr="00FA5FE1">
        <w:rPr>
          <w:rFonts w:eastAsia="Times New Roman" w:cs="Arial"/>
          <w:lang w:val="es-PE"/>
        </w:rPr>
        <w:t xml:space="preserve">: </w:t>
      </w:r>
      <w:r w:rsidR="000A3C51">
        <w:rPr>
          <w:rFonts w:eastAsia="Times New Roman" w:cs="Arial"/>
          <w:lang w:val="es-PE"/>
        </w:rPr>
        <w:t xml:space="preserve"> </w:t>
      </w:r>
      <w:r w:rsidRPr="00FA5FE1">
        <w:rPr>
          <w:rFonts w:eastAsia="Times New Roman" w:cs="Arial"/>
          <w:lang w:val="es-PE"/>
        </w:rPr>
        <w:t>LISTA DE FORMATOS</w:t>
      </w:r>
    </w:p>
    <w:p w14:paraId="706EFF70" w14:textId="77777777" w:rsidR="008572E7" w:rsidRPr="00FA5FE1" w:rsidRDefault="008572E7" w:rsidP="009865D0">
      <w:pPr>
        <w:pStyle w:val="titulo3bv"/>
        <w:numPr>
          <w:ilvl w:val="0"/>
          <w:numId w:val="0"/>
        </w:numPr>
        <w:spacing w:after="0" w:line="240" w:lineRule="auto"/>
        <w:ind w:right="-1"/>
        <w:contextualSpacing/>
        <w:jc w:val="center"/>
        <w:rPr>
          <w:rFonts w:eastAsia="Times New Roman" w:cs="Arial"/>
          <w:bCs w:val="0"/>
          <w:lang w:val="es-PE"/>
        </w:rPr>
      </w:pPr>
    </w:p>
    <w:tbl>
      <w:tblPr>
        <w:tblpPr w:leftFromText="141" w:rightFromText="141" w:vertAnchor="text" w:horzAnchor="margin" w:tblpX="10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45"/>
      </w:tblGrid>
      <w:tr w:rsidR="00F9592F" w:rsidRPr="00FA5FE1" w14:paraId="577B6757" w14:textId="77777777" w:rsidTr="00F9592F">
        <w:tc>
          <w:tcPr>
            <w:tcW w:w="1526" w:type="dxa"/>
            <w:shd w:val="clear" w:color="auto" w:fill="auto"/>
          </w:tcPr>
          <w:p w14:paraId="6D4A5196" w14:textId="77777777" w:rsidR="00F9592F" w:rsidRPr="00FA5FE1" w:rsidRDefault="00F9592F" w:rsidP="009865D0">
            <w:pPr>
              <w:ind w:right="-1"/>
              <w:rPr>
                <w:rFonts w:cs="Arial"/>
                <w:b/>
                <w:szCs w:val="20"/>
                <w:lang w:eastAsia="es-PE"/>
              </w:rPr>
            </w:pPr>
            <w:r w:rsidRPr="00FA5FE1">
              <w:rPr>
                <w:rFonts w:cs="Arial"/>
                <w:b/>
                <w:szCs w:val="20"/>
                <w:lang w:eastAsia="es-PE"/>
              </w:rPr>
              <w:t>Formato 01</w:t>
            </w:r>
          </w:p>
        </w:tc>
        <w:tc>
          <w:tcPr>
            <w:tcW w:w="6945" w:type="dxa"/>
            <w:shd w:val="clear" w:color="auto" w:fill="auto"/>
          </w:tcPr>
          <w:p w14:paraId="5728E8E4" w14:textId="77777777" w:rsidR="00F9592F" w:rsidRPr="00FA5FE1" w:rsidRDefault="00F9592F" w:rsidP="009865D0">
            <w:pPr>
              <w:ind w:right="-1"/>
              <w:rPr>
                <w:rFonts w:cs="Arial"/>
                <w:b/>
                <w:szCs w:val="20"/>
                <w:lang w:eastAsia="es-PE"/>
              </w:rPr>
            </w:pPr>
            <w:r w:rsidRPr="00FA5FE1">
              <w:rPr>
                <w:rFonts w:cs="Arial"/>
                <w:bCs/>
                <w:szCs w:val="20"/>
              </w:rPr>
              <w:t>Comprensión de las operaciones de la entidad a ser auditada</w:t>
            </w:r>
          </w:p>
        </w:tc>
      </w:tr>
      <w:tr w:rsidR="00F9592F" w:rsidRPr="00FA5FE1" w14:paraId="2A8BDB20" w14:textId="77777777" w:rsidTr="00F9592F">
        <w:tc>
          <w:tcPr>
            <w:tcW w:w="1526" w:type="dxa"/>
            <w:shd w:val="clear" w:color="auto" w:fill="auto"/>
          </w:tcPr>
          <w:p w14:paraId="34385FC1" w14:textId="77777777" w:rsidR="00F9592F" w:rsidRPr="00FA5FE1" w:rsidRDefault="00F9592F" w:rsidP="009865D0">
            <w:pPr>
              <w:ind w:right="-1"/>
              <w:rPr>
                <w:rFonts w:cs="Arial"/>
                <w:b/>
                <w:szCs w:val="20"/>
                <w:lang w:eastAsia="es-PE"/>
              </w:rPr>
            </w:pPr>
            <w:r w:rsidRPr="00FA5FE1">
              <w:rPr>
                <w:rFonts w:cs="Arial"/>
                <w:b/>
                <w:bCs/>
                <w:szCs w:val="20"/>
              </w:rPr>
              <w:t>Formato 02</w:t>
            </w:r>
          </w:p>
        </w:tc>
        <w:tc>
          <w:tcPr>
            <w:tcW w:w="6945" w:type="dxa"/>
            <w:shd w:val="clear" w:color="auto" w:fill="auto"/>
          </w:tcPr>
          <w:p w14:paraId="71BE3F35" w14:textId="77777777" w:rsidR="00F9592F" w:rsidRPr="00FA5FE1" w:rsidRDefault="00F9592F" w:rsidP="009865D0">
            <w:pPr>
              <w:ind w:right="-1"/>
              <w:rPr>
                <w:rFonts w:cs="Arial"/>
                <w:szCs w:val="20"/>
                <w:lang w:eastAsia="es-PE"/>
              </w:rPr>
            </w:pPr>
            <w:r w:rsidRPr="00FA5FE1">
              <w:rPr>
                <w:rFonts w:cs="Arial"/>
                <w:szCs w:val="20"/>
                <w:lang w:eastAsia="es-PE"/>
              </w:rPr>
              <w:t>Uso del trabajo de un experto por parte de la Administración</w:t>
            </w:r>
          </w:p>
        </w:tc>
      </w:tr>
      <w:tr w:rsidR="00F9592F" w:rsidRPr="00FA5FE1" w14:paraId="26DAABEF" w14:textId="77777777" w:rsidTr="00F9592F">
        <w:tc>
          <w:tcPr>
            <w:tcW w:w="1526" w:type="dxa"/>
            <w:shd w:val="clear" w:color="auto" w:fill="auto"/>
          </w:tcPr>
          <w:p w14:paraId="526232AA" w14:textId="77777777" w:rsidR="00F9592F" w:rsidRPr="00FA5FE1" w:rsidRDefault="00F9592F" w:rsidP="009865D0">
            <w:pPr>
              <w:ind w:right="-1"/>
              <w:rPr>
                <w:rFonts w:cs="Arial"/>
                <w:b/>
                <w:szCs w:val="20"/>
                <w:lang w:eastAsia="es-PE"/>
              </w:rPr>
            </w:pPr>
            <w:r w:rsidRPr="00FA5FE1">
              <w:rPr>
                <w:rFonts w:cs="Arial"/>
                <w:b/>
                <w:szCs w:val="20"/>
                <w:lang w:eastAsia="es-PE"/>
              </w:rPr>
              <w:t>Formato 03</w:t>
            </w:r>
          </w:p>
        </w:tc>
        <w:tc>
          <w:tcPr>
            <w:tcW w:w="6945" w:type="dxa"/>
            <w:shd w:val="clear" w:color="auto" w:fill="auto"/>
          </w:tcPr>
          <w:p w14:paraId="1C3E8E02" w14:textId="77777777" w:rsidR="00F9592F" w:rsidRPr="00FA5FE1" w:rsidRDefault="00F9592F" w:rsidP="009865D0">
            <w:pPr>
              <w:ind w:right="-1"/>
              <w:rPr>
                <w:rFonts w:cs="Arial"/>
                <w:szCs w:val="20"/>
                <w:lang w:eastAsia="es-PE"/>
              </w:rPr>
            </w:pPr>
            <w:r w:rsidRPr="00FA5FE1">
              <w:rPr>
                <w:rFonts w:cs="Arial"/>
                <w:szCs w:val="20"/>
                <w:lang w:eastAsia="es-PE"/>
              </w:rPr>
              <w:t>Uso del trabajo de un experto por parte del auditor</w:t>
            </w:r>
          </w:p>
        </w:tc>
      </w:tr>
      <w:tr w:rsidR="00F9592F" w:rsidRPr="00FA5FE1" w14:paraId="5719A56B" w14:textId="77777777" w:rsidTr="00F9592F">
        <w:tc>
          <w:tcPr>
            <w:tcW w:w="1526" w:type="dxa"/>
            <w:shd w:val="clear" w:color="auto" w:fill="auto"/>
          </w:tcPr>
          <w:p w14:paraId="2E02B50F" w14:textId="77777777" w:rsidR="00F9592F" w:rsidRPr="00FA5FE1" w:rsidRDefault="00F9592F" w:rsidP="009865D0">
            <w:pPr>
              <w:ind w:right="-1"/>
              <w:rPr>
                <w:rFonts w:cs="Arial"/>
                <w:b/>
                <w:szCs w:val="20"/>
                <w:lang w:eastAsia="es-PE"/>
              </w:rPr>
            </w:pPr>
            <w:r w:rsidRPr="00FA5FE1">
              <w:rPr>
                <w:rFonts w:cs="Arial"/>
                <w:b/>
                <w:szCs w:val="20"/>
                <w:lang w:eastAsia="es-PE"/>
              </w:rPr>
              <w:t>Formato 04</w:t>
            </w:r>
          </w:p>
        </w:tc>
        <w:tc>
          <w:tcPr>
            <w:tcW w:w="6945" w:type="dxa"/>
            <w:shd w:val="clear" w:color="auto" w:fill="auto"/>
          </w:tcPr>
          <w:p w14:paraId="38E8D3FF" w14:textId="77777777" w:rsidR="00F9592F" w:rsidRPr="00FA5FE1" w:rsidRDefault="00F9592F" w:rsidP="009865D0">
            <w:pPr>
              <w:ind w:right="-1"/>
              <w:rPr>
                <w:rFonts w:cs="Arial"/>
                <w:szCs w:val="20"/>
                <w:lang w:eastAsia="es-PE"/>
              </w:rPr>
            </w:pPr>
            <w:r w:rsidRPr="00FA5FE1">
              <w:rPr>
                <w:rFonts w:cs="Arial"/>
                <w:szCs w:val="20"/>
                <w:lang w:eastAsia="es-PE"/>
              </w:rPr>
              <w:t>Matriz de revisión analítica-Estado de situación financiera</w:t>
            </w:r>
          </w:p>
        </w:tc>
      </w:tr>
      <w:tr w:rsidR="00F9592F" w:rsidRPr="00FA5FE1" w14:paraId="77BBA01D" w14:textId="77777777" w:rsidTr="00F9592F">
        <w:tc>
          <w:tcPr>
            <w:tcW w:w="1526" w:type="dxa"/>
            <w:shd w:val="clear" w:color="auto" w:fill="auto"/>
          </w:tcPr>
          <w:p w14:paraId="0DEBD42A" w14:textId="77777777" w:rsidR="00F9592F" w:rsidRPr="00FA5FE1" w:rsidRDefault="00F9592F" w:rsidP="009865D0">
            <w:pPr>
              <w:ind w:right="-1"/>
              <w:rPr>
                <w:rFonts w:cs="Arial"/>
                <w:b/>
                <w:szCs w:val="20"/>
                <w:lang w:eastAsia="es-PE"/>
              </w:rPr>
            </w:pPr>
            <w:r w:rsidRPr="00FA5FE1">
              <w:rPr>
                <w:rFonts w:cs="Arial"/>
                <w:b/>
                <w:szCs w:val="20"/>
                <w:lang w:eastAsia="es-PE"/>
              </w:rPr>
              <w:t>Formato 05</w:t>
            </w:r>
          </w:p>
        </w:tc>
        <w:tc>
          <w:tcPr>
            <w:tcW w:w="6945" w:type="dxa"/>
            <w:shd w:val="clear" w:color="auto" w:fill="auto"/>
          </w:tcPr>
          <w:p w14:paraId="2B36FE04" w14:textId="77777777" w:rsidR="00F9592F" w:rsidRPr="00FA5FE1" w:rsidRDefault="00F9592F" w:rsidP="009865D0">
            <w:pPr>
              <w:ind w:right="-1"/>
              <w:rPr>
                <w:rFonts w:cs="Arial"/>
                <w:szCs w:val="20"/>
                <w:lang w:eastAsia="es-PE"/>
              </w:rPr>
            </w:pPr>
            <w:r w:rsidRPr="00FA5FE1">
              <w:rPr>
                <w:rFonts w:cs="Arial"/>
                <w:szCs w:val="20"/>
                <w:lang w:eastAsia="es-PE"/>
              </w:rPr>
              <w:t>Matriz de revisión analítica-Estado de gestión</w:t>
            </w:r>
          </w:p>
        </w:tc>
      </w:tr>
      <w:tr w:rsidR="00F9592F" w:rsidRPr="00FA5FE1" w14:paraId="3E47EDC1" w14:textId="77777777" w:rsidTr="00F9592F">
        <w:tc>
          <w:tcPr>
            <w:tcW w:w="1526" w:type="dxa"/>
            <w:shd w:val="clear" w:color="auto" w:fill="auto"/>
          </w:tcPr>
          <w:p w14:paraId="73FA6F5E" w14:textId="77777777" w:rsidR="00F9592F" w:rsidRPr="00FA5FE1" w:rsidRDefault="00F9592F" w:rsidP="009865D0">
            <w:pPr>
              <w:ind w:right="-1"/>
              <w:rPr>
                <w:rFonts w:cs="Arial"/>
                <w:b/>
                <w:szCs w:val="20"/>
                <w:lang w:eastAsia="es-PE"/>
              </w:rPr>
            </w:pPr>
            <w:r w:rsidRPr="00FA5FE1">
              <w:rPr>
                <w:rFonts w:cs="Arial"/>
                <w:b/>
                <w:szCs w:val="20"/>
                <w:lang w:eastAsia="es-PE"/>
              </w:rPr>
              <w:t>Formato 06</w:t>
            </w:r>
          </w:p>
        </w:tc>
        <w:tc>
          <w:tcPr>
            <w:tcW w:w="6945" w:type="dxa"/>
            <w:shd w:val="clear" w:color="auto" w:fill="auto"/>
          </w:tcPr>
          <w:p w14:paraId="698F6CA5" w14:textId="77777777" w:rsidR="00F9592F" w:rsidRPr="00FA5FE1" w:rsidRDefault="00F9592F" w:rsidP="009865D0">
            <w:pPr>
              <w:ind w:right="-1"/>
              <w:rPr>
                <w:rFonts w:cs="Arial"/>
                <w:szCs w:val="20"/>
                <w:lang w:eastAsia="es-PE"/>
              </w:rPr>
            </w:pPr>
            <w:r w:rsidRPr="00FA5FE1">
              <w:rPr>
                <w:rFonts w:cs="Arial"/>
                <w:szCs w:val="20"/>
                <w:lang w:eastAsia="es-PE"/>
              </w:rPr>
              <w:t>Memorando de revisión analítica</w:t>
            </w:r>
          </w:p>
        </w:tc>
      </w:tr>
      <w:tr w:rsidR="00F9592F" w:rsidRPr="00FA5FE1" w14:paraId="70FDDB9C" w14:textId="77777777" w:rsidTr="00F9592F">
        <w:tc>
          <w:tcPr>
            <w:tcW w:w="1526" w:type="dxa"/>
            <w:shd w:val="clear" w:color="auto" w:fill="auto"/>
          </w:tcPr>
          <w:p w14:paraId="6878C998" w14:textId="77777777" w:rsidR="00F9592F" w:rsidRPr="00FA5FE1" w:rsidRDefault="00F9592F" w:rsidP="009865D0">
            <w:pPr>
              <w:ind w:right="-1"/>
              <w:rPr>
                <w:rFonts w:cs="Arial"/>
                <w:b/>
                <w:szCs w:val="20"/>
                <w:lang w:eastAsia="es-PE"/>
              </w:rPr>
            </w:pPr>
            <w:r w:rsidRPr="00FA5FE1">
              <w:rPr>
                <w:rFonts w:cs="Arial"/>
                <w:b/>
                <w:szCs w:val="20"/>
                <w:lang w:eastAsia="es-PE"/>
              </w:rPr>
              <w:t>Formato 07</w:t>
            </w:r>
          </w:p>
        </w:tc>
        <w:tc>
          <w:tcPr>
            <w:tcW w:w="6945" w:type="dxa"/>
            <w:shd w:val="clear" w:color="auto" w:fill="auto"/>
          </w:tcPr>
          <w:p w14:paraId="7CDACD2B" w14:textId="77777777" w:rsidR="00F9592F" w:rsidRPr="00FA5FE1" w:rsidRDefault="00F9592F" w:rsidP="009865D0">
            <w:pPr>
              <w:ind w:right="-1"/>
              <w:rPr>
                <w:rFonts w:cs="Arial"/>
                <w:szCs w:val="20"/>
                <w:lang w:eastAsia="es-PE"/>
              </w:rPr>
            </w:pPr>
            <w:r w:rsidRPr="00FA5FE1">
              <w:rPr>
                <w:rFonts w:cs="Arial"/>
                <w:szCs w:val="20"/>
                <w:lang w:eastAsia="es-PE"/>
              </w:rPr>
              <w:t>Determinación de la materialidad, error tolerable e importe nominal para acumular errores en el resumen de diferencias de auditoría</w:t>
            </w:r>
          </w:p>
        </w:tc>
      </w:tr>
      <w:tr w:rsidR="00F9592F" w:rsidRPr="00FA5FE1" w14:paraId="3CFFF06E" w14:textId="77777777" w:rsidTr="00F9592F">
        <w:tc>
          <w:tcPr>
            <w:tcW w:w="1526" w:type="dxa"/>
            <w:shd w:val="clear" w:color="auto" w:fill="auto"/>
          </w:tcPr>
          <w:p w14:paraId="55DEEC94" w14:textId="77777777" w:rsidR="00F9592F" w:rsidRPr="00FA5FE1" w:rsidRDefault="00F9592F" w:rsidP="009865D0">
            <w:pPr>
              <w:ind w:right="-1"/>
              <w:rPr>
                <w:rFonts w:cs="Arial"/>
                <w:b/>
                <w:szCs w:val="20"/>
                <w:lang w:eastAsia="es-PE"/>
              </w:rPr>
            </w:pPr>
            <w:r w:rsidRPr="00FA5FE1">
              <w:rPr>
                <w:rFonts w:cs="Arial"/>
                <w:b/>
                <w:szCs w:val="20"/>
                <w:lang w:eastAsia="es-PE"/>
              </w:rPr>
              <w:t>Formato 08</w:t>
            </w:r>
          </w:p>
        </w:tc>
        <w:tc>
          <w:tcPr>
            <w:tcW w:w="6945" w:type="dxa"/>
            <w:shd w:val="clear" w:color="auto" w:fill="auto"/>
          </w:tcPr>
          <w:p w14:paraId="6426BBCF" w14:textId="77777777" w:rsidR="00F9592F" w:rsidRPr="00FA5FE1" w:rsidRDefault="00F9592F" w:rsidP="009865D0">
            <w:pPr>
              <w:ind w:right="-1"/>
              <w:rPr>
                <w:rFonts w:cs="Arial"/>
                <w:szCs w:val="20"/>
                <w:lang w:eastAsia="es-PE"/>
              </w:rPr>
            </w:pPr>
            <w:r w:rsidRPr="00FA5FE1">
              <w:rPr>
                <w:rFonts w:cs="Arial"/>
                <w:szCs w:val="20"/>
                <w:lang w:eastAsia="es-PE"/>
              </w:rPr>
              <w:t>Matriz de cuentas significativas del estado de situación financiera-Evaluación del riesgo combinado</w:t>
            </w:r>
          </w:p>
        </w:tc>
      </w:tr>
      <w:tr w:rsidR="00F9592F" w:rsidRPr="00FA5FE1" w14:paraId="1435DEDE" w14:textId="77777777" w:rsidTr="00F9592F">
        <w:tc>
          <w:tcPr>
            <w:tcW w:w="1526" w:type="dxa"/>
            <w:shd w:val="clear" w:color="auto" w:fill="auto"/>
          </w:tcPr>
          <w:p w14:paraId="41B78BF2" w14:textId="77777777" w:rsidR="00F9592F" w:rsidRPr="00FA5FE1" w:rsidRDefault="00F9592F" w:rsidP="009865D0">
            <w:pPr>
              <w:ind w:right="-1"/>
              <w:rPr>
                <w:rFonts w:cs="Arial"/>
                <w:b/>
                <w:szCs w:val="20"/>
                <w:lang w:eastAsia="es-PE"/>
              </w:rPr>
            </w:pPr>
            <w:r w:rsidRPr="00FA5FE1">
              <w:rPr>
                <w:rFonts w:cs="Arial"/>
                <w:b/>
                <w:szCs w:val="20"/>
                <w:lang w:eastAsia="es-PE"/>
              </w:rPr>
              <w:t>Formato 09</w:t>
            </w:r>
          </w:p>
        </w:tc>
        <w:tc>
          <w:tcPr>
            <w:tcW w:w="6945" w:type="dxa"/>
            <w:shd w:val="clear" w:color="auto" w:fill="auto"/>
          </w:tcPr>
          <w:p w14:paraId="3980908A" w14:textId="77777777" w:rsidR="00F9592F" w:rsidRPr="00FA5FE1" w:rsidRDefault="00F9592F" w:rsidP="009865D0">
            <w:pPr>
              <w:ind w:right="-1"/>
              <w:rPr>
                <w:rFonts w:cs="Arial"/>
                <w:szCs w:val="20"/>
                <w:lang w:eastAsia="es-PE"/>
              </w:rPr>
            </w:pPr>
            <w:r w:rsidRPr="00FA5FE1">
              <w:rPr>
                <w:rFonts w:cs="Arial"/>
                <w:szCs w:val="20"/>
                <w:lang w:eastAsia="es-PE"/>
              </w:rPr>
              <w:t>Matriz de cuentas significativas del estado de gestión-Evaluación del riesgo combinado</w:t>
            </w:r>
          </w:p>
        </w:tc>
      </w:tr>
      <w:tr w:rsidR="00F9592F" w:rsidRPr="00FA5FE1" w14:paraId="299CCE32" w14:textId="77777777" w:rsidTr="00F9592F">
        <w:tc>
          <w:tcPr>
            <w:tcW w:w="1526" w:type="dxa"/>
            <w:shd w:val="clear" w:color="auto" w:fill="auto"/>
          </w:tcPr>
          <w:p w14:paraId="71B3B13A" w14:textId="77777777" w:rsidR="00F9592F" w:rsidRPr="00FA5FE1" w:rsidRDefault="00F9592F" w:rsidP="009865D0">
            <w:pPr>
              <w:ind w:right="-1"/>
              <w:rPr>
                <w:rFonts w:cs="Arial"/>
                <w:b/>
                <w:szCs w:val="20"/>
                <w:lang w:eastAsia="es-PE"/>
              </w:rPr>
            </w:pPr>
            <w:r w:rsidRPr="00FA5FE1">
              <w:rPr>
                <w:rFonts w:cs="Arial"/>
                <w:b/>
                <w:szCs w:val="20"/>
                <w:lang w:eastAsia="es-PE"/>
              </w:rPr>
              <w:t>Formato 10</w:t>
            </w:r>
          </w:p>
        </w:tc>
        <w:tc>
          <w:tcPr>
            <w:tcW w:w="6945" w:type="dxa"/>
            <w:shd w:val="clear" w:color="auto" w:fill="auto"/>
          </w:tcPr>
          <w:p w14:paraId="15A30252" w14:textId="77777777" w:rsidR="00F9592F" w:rsidRPr="00FA5FE1" w:rsidRDefault="00F9592F" w:rsidP="009865D0">
            <w:pPr>
              <w:ind w:right="-1"/>
              <w:rPr>
                <w:rFonts w:cs="Arial"/>
                <w:szCs w:val="20"/>
                <w:lang w:eastAsia="es-PE"/>
              </w:rPr>
            </w:pPr>
            <w:r w:rsidRPr="00FA5FE1">
              <w:rPr>
                <w:rFonts w:cs="Arial"/>
                <w:szCs w:val="20"/>
                <w:lang w:eastAsia="es-PE"/>
              </w:rPr>
              <w:t>Lista de procesos significativos Estrategias y Aplicaciones Relacionadas</w:t>
            </w:r>
          </w:p>
        </w:tc>
      </w:tr>
      <w:tr w:rsidR="00F9592F" w:rsidRPr="00FA5FE1" w14:paraId="43ADCE0D" w14:textId="77777777" w:rsidTr="00F9592F">
        <w:tc>
          <w:tcPr>
            <w:tcW w:w="1526" w:type="dxa"/>
            <w:shd w:val="clear" w:color="auto" w:fill="auto"/>
          </w:tcPr>
          <w:p w14:paraId="7F9F15CC" w14:textId="77777777" w:rsidR="00F9592F" w:rsidRPr="00FA5FE1" w:rsidRDefault="00F9592F" w:rsidP="009865D0">
            <w:pPr>
              <w:ind w:right="-1"/>
              <w:rPr>
                <w:rFonts w:cs="Arial"/>
                <w:b/>
                <w:szCs w:val="20"/>
                <w:lang w:eastAsia="es-PE"/>
              </w:rPr>
            </w:pPr>
            <w:r w:rsidRPr="00FA5FE1">
              <w:rPr>
                <w:rFonts w:cs="Arial"/>
                <w:b/>
                <w:szCs w:val="20"/>
                <w:lang w:eastAsia="es-PE"/>
              </w:rPr>
              <w:t>Formato 11</w:t>
            </w:r>
          </w:p>
        </w:tc>
        <w:tc>
          <w:tcPr>
            <w:tcW w:w="6945" w:type="dxa"/>
            <w:shd w:val="clear" w:color="auto" w:fill="auto"/>
          </w:tcPr>
          <w:p w14:paraId="151437CF" w14:textId="77777777" w:rsidR="00F9592F" w:rsidRPr="00FA5FE1" w:rsidRDefault="00F9592F" w:rsidP="009865D0">
            <w:pPr>
              <w:ind w:right="-1"/>
              <w:rPr>
                <w:rFonts w:cs="Arial"/>
                <w:szCs w:val="20"/>
                <w:lang w:eastAsia="es-PE"/>
              </w:rPr>
            </w:pPr>
            <w:r w:rsidRPr="00FA5FE1">
              <w:rPr>
                <w:rFonts w:cs="Arial"/>
                <w:szCs w:val="20"/>
                <w:lang w:eastAsia="es-PE"/>
              </w:rPr>
              <w:t>Comprensión del sistema de control interno a nivel entidad</w:t>
            </w:r>
          </w:p>
        </w:tc>
      </w:tr>
      <w:tr w:rsidR="00F9592F" w:rsidRPr="00FA5FE1" w14:paraId="19762D6E" w14:textId="77777777" w:rsidTr="00F9592F">
        <w:tc>
          <w:tcPr>
            <w:tcW w:w="1526" w:type="dxa"/>
            <w:shd w:val="clear" w:color="auto" w:fill="auto"/>
          </w:tcPr>
          <w:p w14:paraId="7DC697FE" w14:textId="77777777" w:rsidR="00F9592F" w:rsidRPr="00FA5FE1" w:rsidRDefault="00F9592F" w:rsidP="009865D0">
            <w:pPr>
              <w:ind w:right="-1"/>
              <w:rPr>
                <w:rFonts w:cs="Arial"/>
                <w:b/>
                <w:szCs w:val="20"/>
                <w:lang w:eastAsia="es-PE"/>
              </w:rPr>
            </w:pPr>
            <w:r w:rsidRPr="00FA5FE1">
              <w:rPr>
                <w:rFonts w:cs="Arial"/>
                <w:b/>
                <w:szCs w:val="20"/>
                <w:lang w:eastAsia="es-PE"/>
              </w:rPr>
              <w:t>Formato 12</w:t>
            </w:r>
          </w:p>
        </w:tc>
        <w:tc>
          <w:tcPr>
            <w:tcW w:w="6945" w:type="dxa"/>
            <w:shd w:val="clear" w:color="auto" w:fill="auto"/>
          </w:tcPr>
          <w:p w14:paraId="46C1F238" w14:textId="77777777" w:rsidR="00F9592F" w:rsidRPr="00FA5FE1" w:rsidRDefault="00F9592F" w:rsidP="009865D0">
            <w:pPr>
              <w:ind w:right="-1"/>
              <w:rPr>
                <w:rFonts w:cs="Arial"/>
                <w:szCs w:val="20"/>
                <w:lang w:eastAsia="es-PE"/>
              </w:rPr>
            </w:pPr>
            <w:r w:rsidRPr="00FA5FE1">
              <w:rPr>
                <w:rFonts w:cs="Arial"/>
                <w:szCs w:val="20"/>
                <w:lang w:eastAsia="es-PE"/>
              </w:rPr>
              <w:t>Evaluación de riesgos de fraude</w:t>
            </w:r>
          </w:p>
        </w:tc>
      </w:tr>
      <w:tr w:rsidR="00F9592F" w:rsidRPr="00FA5FE1" w14:paraId="5E7BAAB6" w14:textId="77777777" w:rsidTr="00F9592F">
        <w:tc>
          <w:tcPr>
            <w:tcW w:w="1526" w:type="dxa"/>
            <w:shd w:val="clear" w:color="auto" w:fill="auto"/>
          </w:tcPr>
          <w:p w14:paraId="65B99BB1" w14:textId="77777777" w:rsidR="00F9592F" w:rsidRPr="00FA5FE1" w:rsidRDefault="00F9592F" w:rsidP="009865D0">
            <w:pPr>
              <w:ind w:right="-1"/>
              <w:rPr>
                <w:rFonts w:cs="Arial"/>
                <w:b/>
                <w:szCs w:val="20"/>
                <w:lang w:eastAsia="es-PE"/>
              </w:rPr>
            </w:pPr>
            <w:r w:rsidRPr="00FA5FE1">
              <w:rPr>
                <w:rFonts w:cs="Arial"/>
                <w:b/>
                <w:szCs w:val="20"/>
                <w:lang w:eastAsia="es-PE"/>
              </w:rPr>
              <w:t>Formato 13</w:t>
            </w:r>
          </w:p>
        </w:tc>
        <w:tc>
          <w:tcPr>
            <w:tcW w:w="6945" w:type="dxa"/>
            <w:shd w:val="clear" w:color="auto" w:fill="auto"/>
          </w:tcPr>
          <w:p w14:paraId="1C96C120" w14:textId="77777777" w:rsidR="00F9592F" w:rsidRPr="00FA5FE1" w:rsidRDefault="00F9592F" w:rsidP="009865D0">
            <w:pPr>
              <w:ind w:right="-1"/>
              <w:rPr>
                <w:rFonts w:cs="Arial"/>
                <w:szCs w:val="20"/>
                <w:lang w:eastAsia="es-PE"/>
              </w:rPr>
            </w:pPr>
            <w:r w:rsidRPr="00FA5FE1">
              <w:rPr>
                <w:rFonts w:cs="Arial"/>
                <w:szCs w:val="20"/>
                <w:lang w:eastAsia="es-PE"/>
              </w:rPr>
              <w:t>Plantilla de transacciones significativas y procesos de revelación significativa</w:t>
            </w:r>
          </w:p>
        </w:tc>
      </w:tr>
      <w:tr w:rsidR="00F9592F" w:rsidRPr="00FA5FE1" w14:paraId="251AAFA6" w14:textId="77777777" w:rsidTr="00F9592F">
        <w:tc>
          <w:tcPr>
            <w:tcW w:w="1526" w:type="dxa"/>
            <w:shd w:val="clear" w:color="auto" w:fill="auto"/>
          </w:tcPr>
          <w:p w14:paraId="4950E9E6" w14:textId="77777777" w:rsidR="00F9592F" w:rsidRPr="00FA5FE1" w:rsidRDefault="00F9592F" w:rsidP="009865D0">
            <w:pPr>
              <w:ind w:right="-1"/>
              <w:rPr>
                <w:rFonts w:cs="Arial"/>
                <w:b/>
                <w:szCs w:val="20"/>
                <w:lang w:eastAsia="es-PE"/>
              </w:rPr>
            </w:pPr>
            <w:r w:rsidRPr="00FA5FE1">
              <w:rPr>
                <w:rFonts w:cs="Arial"/>
                <w:b/>
                <w:szCs w:val="20"/>
                <w:lang w:eastAsia="es-PE"/>
              </w:rPr>
              <w:t>Formato 14</w:t>
            </w:r>
          </w:p>
        </w:tc>
        <w:tc>
          <w:tcPr>
            <w:tcW w:w="6945" w:type="dxa"/>
            <w:shd w:val="clear" w:color="auto" w:fill="auto"/>
          </w:tcPr>
          <w:p w14:paraId="4029F7F8" w14:textId="77777777" w:rsidR="00F9592F" w:rsidRPr="00FA5FE1" w:rsidRDefault="00F9592F" w:rsidP="009865D0">
            <w:pPr>
              <w:ind w:right="-1"/>
              <w:rPr>
                <w:rFonts w:cs="Arial"/>
                <w:szCs w:val="20"/>
                <w:lang w:eastAsia="es-PE"/>
              </w:rPr>
            </w:pPr>
            <w:r w:rsidRPr="00FA5FE1">
              <w:rPr>
                <w:rFonts w:cs="Arial"/>
                <w:szCs w:val="20"/>
                <w:lang w:eastAsia="es-PE"/>
              </w:rPr>
              <w:t>Evento de planificación de auditoría</w:t>
            </w:r>
          </w:p>
        </w:tc>
      </w:tr>
      <w:tr w:rsidR="00F9592F" w:rsidRPr="00FA5FE1" w14:paraId="670AC4E7" w14:textId="77777777" w:rsidTr="00F9592F">
        <w:tc>
          <w:tcPr>
            <w:tcW w:w="1526" w:type="dxa"/>
            <w:shd w:val="clear" w:color="auto" w:fill="auto"/>
          </w:tcPr>
          <w:p w14:paraId="0BD142E2" w14:textId="77777777" w:rsidR="00F9592F" w:rsidRPr="00FA5FE1" w:rsidRDefault="00F9592F" w:rsidP="009865D0">
            <w:pPr>
              <w:ind w:right="-1"/>
              <w:rPr>
                <w:rFonts w:cs="Arial"/>
                <w:b/>
                <w:szCs w:val="20"/>
                <w:lang w:eastAsia="es-PE"/>
              </w:rPr>
            </w:pPr>
            <w:r w:rsidRPr="00FA5FE1">
              <w:rPr>
                <w:rFonts w:cs="Arial"/>
                <w:b/>
                <w:szCs w:val="20"/>
                <w:lang w:eastAsia="es-PE"/>
              </w:rPr>
              <w:t>Formato 15</w:t>
            </w:r>
          </w:p>
        </w:tc>
        <w:tc>
          <w:tcPr>
            <w:tcW w:w="6945" w:type="dxa"/>
            <w:shd w:val="clear" w:color="auto" w:fill="auto"/>
          </w:tcPr>
          <w:p w14:paraId="75FF87D4" w14:textId="77777777" w:rsidR="00F9592F" w:rsidRPr="00FA5FE1" w:rsidRDefault="00F9592F" w:rsidP="009865D0">
            <w:pPr>
              <w:ind w:right="-1"/>
              <w:rPr>
                <w:rFonts w:cs="Arial"/>
                <w:szCs w:val="20"/>
                <w:lang w:eastAsia="es-PE"/>
              </w:rPr>
            </w:pPr>
            <w:r w:rsidRPr="00FA5FE1">
              <w:rPr>
                <w:rFonts w:cs="Arial"/>
                <w:szCs w:val="20"/>
                <w:lang w:eastAsia="es-PE"/>
              </w:rPr>
              <w:t>Memorando de estrategia de auditoría</w:t>
            </w:r>
          </w:p>
        </w:tc>
      </w:tr>
      <w:tr w:rsidR="00F9592F" w:rsidRPr="00FA5FE1" w14:paraId="1833BE14" w14:textId="77777777" w:rsidTr="00F9592F">
        <w:tc>
          <w:tcPr>
            <w:tcW w:w="1526" w:type="dxa"/>
            <w:shd w:val="clear" w:color="auto" w:fill="auto"/>
          </w:tcPr>
          <w:p w14:paraId="2330B98C" w14:textId="77777777" w:rsidR="00F9592F" w:rsidRPr="00FA5FE1" w:rsidRDefault="00F9592F" w:rsidP="009865D0">
            <w:pPr>
              <w:ind w:right="-1"/>
              <w:rPr>
                <w:rFonts w:cs="Arial"/>
                <w:b/>
                <w:szCs w:val="20"/>
                <w:lang w:eastAsia="es-PE"/>
              </w:rPr>
            </w:pPr>
            <w:r w:rsidRPr="00FA5FE1">
              <w:rPr>
                <w:rFonts w:cs="Arial"/>
                <w:b/>
                <w:szCs w:val="20"/>
                <w:lang w:eastAsia="es-PE"/>
              </w:rPr>
              <w:t>Formato 16</w:t>
            </w:r>
          </w:p>
        </w:tc>
        <w:tc>
          <w:tcPr>
            <w:tcW w:w="6945" w:type="dxa"/>
            <w:shd w:val="clear" w:color="auto" w:fill="auto"/>
          </w:tcPr>
          <w:p w14:paraId="1F4AEB5B" w14:textId="77777777" w:rsidR="00F9592F" w:rsidRPr="00FA5FE1" w:rsidRDefault="00F9592F" w:rsidP="009865D0">
            <w:pPr>
              <w:ind w:right="-1"/>
              <w:rPr>
                <w:rFonts w:cs="Arial"/>
                <w:szCs w:val="20"/>
                <w:lang w:eastAsia="es-PE"/>
              </w:rPr>
            </w:pPr>
            <w:r w:rsidRPr="00FA5FE1">
              <w:rPr>
                <w:rFonts w:cs="Arial"/>
                <w:szCs w:val="20"/>
                <w:lang w:eastAsia="es-PE"/>
              </w:rPr>
              <w:t>Memorando de planificación de auditoría</w:t>
            </w:r>
          </w:p>
        </w:tc>
      </w:tr>
    </w:tbl>
    <w:p w14:paraId="140FCBB4" w14:textId="77777777" w:rsidR="00F9592F" w:rsidRPr="00FA5FE1" w:rsidRDefault="00F9592F" w:rsidP="009865D0">
      <w:pPr>
        <w:ind w:right="-1"/>
        <w:rPr>
          <w:rFonts w:cs="Arial"/>
          <w:b/>
          <w:i/>
          <w:szCs w:val="20"/>
          <w:lang w:eastAsia="es-PE"/>
        </w:rPr>
      </w:pPr>
    </w:p>
    <w:p w14:paraId="3D0661FA" w14:textId="77777777" w:rsidR="00F9592F" w:rsidRPr="00FA5FE1" w:rsidRDefault="00F9592F" w:rsidP="009865D0">
      <w:pPr>
        <w:ind w:right="-1"/>
        <w:rPr>
          <w:rFonts w:cs="Arial"/>
          <w:b/>
          <w:i/>
          <w:szCs w:val="20"/>
          <w:lang w:eastAsia="es-PE"/>
        </w:rPr>
      </w:pPr>
    </w:p>
    <w:sectPr w:rsidR="00F9592F" w:rsidRPr="00FA5FE1" w:rsidSect="008B4BD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39FF" w14:textId="77777777" w:rsidR="00942277" w:rsidRDefault="00942277" w:rsidP="00F960E2">
      <w:r>
        <w:separator/>
      </w:r>
    </w:p>
  </w:endnote>
  <w:endnote w:type="continuationSeparator" w:id="0">
    <w:p w14:paraId="4B93DFDF" w14:textId="77777777" w:rsidR="00942277" w:rsidRDefault="00942277"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F37E" w14:textId="77777777" w:rsidR="00942277" w:rsidRDefault="00942277" w:rsidP="00F960E2">
      <w:r>
        <w:separator/>
      </w:r>
    </w:p>
  </w:footnote>
  <w:footnote w:type="continuationSeparator" w:id="0">
    <w:p w14:paraId="53D7067F" w14:textId="77777777" w:rsidR="00942277" w:rsidRDefault="00942277"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2277"/>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B55C6CCC-2224-4651-A427-8A66CC96D1C3}"/>
</file>

<file path=customXml/itemProps3.xml><?xml version="1.0" encoding="utf-8"?>
<ds:datastoreItem xmlns:ds="http://schemas.openxmlformats.org/officeDocument/2006/customXml" ds:itemID="{7EAC547B-43A1-4C42-83FF-FED83093DBC1}"/>
</file>

<file path=customXml/itemProps4.xml><?xml version="1.0" encoding="utf-8"?>
<ds:datastoreItem xmlns:ds="http://schemas.openxmlformats.org/officeDocument/2006/customXml" ds:itemID="{9CAC9E2F-C060-42E0-AA14-BD23147F4707}"/>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2022-04-07T18:18:00Z</dcterms:created>
  <dcterms:modified xsi:type="dcterms:W3CDTF">2022-04-07T18:18:00Z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